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83BF" w14:textId="1C19C857" w:rsidR="00FB57C5" w:rsidRPr="0058681C" w:rsidRDefault="00FB57C5" w:rsidP="0058681C">
      <w:pPr>
        <w:pStyle w:val="Heading1"/>
      </w:pPr>
      <w:r w:rsidRPr="0058681C">
        <w:t>IMPORTANT INFORMATION ABOUT YOUR DRINKING WATER</w:t>
      </w:r>
    </w:p>
    <w:p w14:paraId="2EA45305" w14:textId="7D94A0FC" w:rsidR="00FB57C5" w:rsidRPr="00560FD1" w:rsidRDefault="00FB57C5" w:rsidP="00084A37">
      <w:pPr>
        <w:spacing w:after="0"/>
        <w:jc w:val="center"/>
        <w:rPr>
          <w:rFonts w:ascii="Arial" w:hAnsi="Arial" w:cs="Arial"/>
          <w:color w:val="000000" w:themeColor="text1"/>
          <w:w w:val="105"/>
          <w:sz w:val="24"/>
          <w:szCs w:val="24"/>
          <w:lang w:val="es-MX"/>
        </w:rPr>
      </w:pPr>
      <w:r w:rsidRPr="00FB57C5">
        <w:rPr>
          <w:rFonts w:ascii="Arial" w:hAnsi="Arial" w:cs="Arial"/>
          <w:w w:val="105"/>
          <w:sz w:val="24"/>
          <w:szCs w:val="24"/>
          <w:lang w:val="es-MX"/>
        </w:rPr>
        <w:t>Este aviso contiene informaci</w:t>
      </w:r>
      <w:r w:rsidRPr="00560FD1">
        <w:rPr>
          <w:rFonts w:ascii="Arial" w:hAnsi="Arial" w:cs="Arial"/>
          <w:color w:val="000000" w:themeColor="text1"/>
          <w:w w:val="105"/>
          <w:sz w:val="24"/>
          <w:szCs w:val="24"/>
          <w:lang w:val="es-MX"/>
        </w:rPr>
        <w:t>ón muy importante sobre su agua potable. Para una copia en español, favor de llamar al sistema de agua</w:t>
      </w:r>
      <w:r w:rsidR="00560FD1" w:rsidRPr="00560FD1">
        <w:rPr>
          <w:rFonts w:ascii="Arial" w:hAnsi="Arial" w:cs="Arial"/>
          <w:color w:val="000000" w:themeColor="text1"/>
          <w:w w:val="105"/>
          <w:sz w:val="24"/>
          <w:szCs w:val="24"/>
          <w:lang w:val="es-MX"/>
        </w:rPr>
        <w:t xml:space="preserve"> (661)849-2663</w:t>
      </w:r>
      <w:r w:rsidRPr="00560FD1">
        <w:rPr>
          <w:rFonts w:ascii="Arial" w:hAnsi="Arial" w:cs="Arial"/>
          <w:color w:val="000000" w:themeColor="text1"/>
          <w:w w:val="105"/>
          <w:sz w:val="24"/>
          <w:szCs w:val="24"/>
          <w:lang w:val="es-MX"/>
        </w:rPr>
        <w:t>.</w:t>
      </w:r>
    </w:p>
    <w:p w14:paraId="35D51A19" w14:textId="77777777" w:rsidR="00084A37" w:rsidRPr="00560FD1" w:rsidRDefault="00084A37" w:rsidP="00084A37">
      <w:pPr>
        <w:spacing w:after="0"/>
        <w:jc w:val="center"/>
        <w:rPr>
          <w:rFonts w:ascii="Arial" w:hAnsi="Arial" w:cs="Arial"/>
          <w:color w:val="000000" w:themeColor="text1"/>
          <w:w w:val="105"/>
          <w:sz w:val="10"/>
          <w:szCs w:val="10"/>
          <w:lang w:val="es-MX"/>
        </w:rPr>
      </w:pPr>
    </w:p>
    <w:p w14:paraId="16B3338C" w14:textId="3F06D124" w:rsidR="00FB57C5" w:rsidRPr="00560FD1" w:rsidRDefault="00560FD1" w:rsidP="00084A37">
      <w:pPr>
        <w:spacing w:after="0"/>
        <w:jc w:val="center"/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</w:pPr>
      <w:r w:rsidRPr="00560FD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Earlimart PUD January 6, 202</w:t>
      </w:r>
      <w:r w:rsidR="00726B2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6</w:t>
      </w:r>
      <w:r w:rsidRPr="00560FD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 xml:space="preserve"> </w:t>
      </w:r>
    </w:p>
    <w:p w14:paraId="22981503" w14:textId="0D5C844E" w:rsidR="00FB57C5" w:rsidRPr="00560FD1" w:rsidRDefault="00FB57C5" w:rsidP="00084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 w:cs="Arial"/>
          <w:b/>
          <w:color w:val="000000" w:themeColor="text1"/>
          <w:sz w:val="40"/>
          <w:szCs w:val="40"/>
        </w:rPr>
      </w:pPr>
      <w:r w:rsidRPr="00560FD1">
        <w:rPr>
          <w:rFonts w:ascii="Arial Black" w:hAnsi="Arial Black" w:cs="Arial"/>
          <w:b/>
          <w:color w:val="000000" w:themeColor="text1"/>
          <w:sz w:val="40"/>
          <w:szCs w:val="40"/>
        </w:rPr>
        <w:t>BOIL WATER NOTICE</w:t>
      </w:r>
    </w:p>
    <w:p w14:paraId="0076CC5F" w14:textId="77777777" w:rsidR="00FB57C5" w:rsidRPr="00560FD1" w:rsidRDefault="00FB57C5" w:rsidP="00FB57C5">
      <w:pPr>
        <w:spacing w:after="0"/>
        <w:jc w:val="center"/>
        <w:rPr>
          <w:rFonts w:ascii="Arial Black" w:hAnsi="Arial Black" w:cs="Arial"/>
          <w:b/>
          <w:color w:val="000000" w:themeColor="text1"/>
          <w:sz w:val="10"/>
          <w:szCs w:val="10"/>
        </w:rPr>
      </w:pPr>
    </w:p>
    <w:p w14:paraId="4BDA55A6" w14:textId="020E7A4F" w:rsidR="001426FA" w:rsidRPr="00560FD1" w:rsidRDefault="001426FA" w:rsidP="00FB57C5">
      <w:pPr>
        <w:spacing w:after="0"/>
        <w:jc w:val="center"/>
        <w:rPr>
          <w:rFonts w:ascii="Arial Black" w:hAnsi="Arial Black" w:cs="Arial"/>
          <w:b/>
          <w:bCs/>
          <w:color w:val="000000" w:themeColor="text1"/>
          <w:sz w:val="24"/>
          <w:szCs w:val="24"/>
        </w:rPr>
        <w:sectPr w:rsidR="001426FA" w:rsidRPr="00560FD1" w:rsidSect="000D1D34">
          <w:pgSz w:w="12240" w:h="15840"/>
          <w:pgMar w:top="450" w:right="720" w:bottom="261" w:left="720" w:header="720" w:footer="720" w:gutter="0"/>
          <w:cols w:space="720"/>
          <w:docGrid w:linePitch="360"/>
        </w:sectPr>
      </w:pPr>
    </w:p>
    <w:p w14:paraId="2C3BB815" w14:textId="7731CB36" w:rsidR="00D64A24" w:rsidRPr="00560FD1" w:rsidRDefault="00D64A24" w:rsidP="00D64A24">
      <w:pPr>
        <w:pStyle w:val="Heading2"/>
        <w:rPr>
          <w:color w:val="000000" w:themeColor="text1"/>
        </w:rPr>
      </w:pPr>
      <w:r w:rsidRPr="00560FD1">
        <w:rPr>
          <w:color w:val="000000" w:themeColor="text1"/>
        </w:rPr>
        <w:t>Boil Your Water Before Drinking or Food Preparation to Avoid Illness</w:t>
      </w:r>
    </w:p>
    <w:p w14:paraId="4C4DBEC4" w14:textId="77777777" w:rsidR="00D64A24" w:rsidRPr="00560FD1" w:rsidRDefault="00D64A24" w:rsidP="00D64A2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12"/>
          <w:szCs w:val="12"/>
        </w:rPr>
      </w:pPr>
    </w:p>
    <w:p w14:paraId="214FD02A" w14:textId="3897FDC9" w:rsidR="00084A37" w:rsidRPr="00560FD1" w:rsidRDefault="001426FA" w:rsidP="001426FA">
      <w:p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Due to the recent</w:t>
      </w:r>
      <w:r w:rsidR="00560FD1" w:rsidRPr="00560FD1">
        <w:rPr>
          <w:rFonts w:ascii="Arial" w:hAnsi="Arial" w:cs="Arial"/>
          <w:color w:val="000000" w:themeColor="text1"/>
          <w:sz w:val="24"/>
          <w:szCs w:val="24"/>
        </w:rPr>
        <w:t xml:space="preserve"> water outage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, which occurred on</w:t>
      </w:r>
      <w:r w:rsidR="00560FD1" w:rsidRPr="00560FD1">
        <w:rPr>
          <w:rFonts w:ascii="Arial" w:hAnsi="Arial" w:cs="Arial"/>
          <w:color w:val="000000" w:themeColor="text1"/>
          <w:sz w:val="24"/>
          <w:szCs w:val="24"/>
        </w:rPr>
        <w:t xml:space="preserve"> January 6, 202</w:t>
      </w:r>
      <w:r w:rsidR="00726B21">
        <w:rPr>
          <w:rFonts w:ascii="Arial" w:hAnsi="Arial" w:cs="Arial"/>
          <w:color w:val="000000" w:themeColor="text1"/>
          <w:sz w:val="24"/>
          <w:szCs w:val="24"/>
        </w:rPr>
        <w:t>6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, the State Water Resources Control Board, Division of Drinking Water, the</w:t>
      </w:r>
      <w:r w:rsidR="00560FD1" w:rsidRPr="00560FD1">
        <w:rPr>
          <w:rFonts w:ascii="Arial" w:hAnsi="Arial" w:cs="Arial"/>
          <w:color w:val="000000" w:themeColor="text1"/>
          <w:sz w:val="24"/>
          <w:szCs w:val="24"/>
        </w:rPr>
        <w:t xml:space="preserve"> Tulare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County Health Department, and the</w:t>
      </w:r>
      <w:r w:rsidR="000035C9">
        <w:rPr>
          <w:rFonts w:ascii="Arial" w:hAnsi="Arial" w:cs="Arial"/>
          <w:color w:val="000000" w:themeColor="text1"/>
          <w:sz w:val="24"/>
          <w:szCs w:val="24"/>
        </w:rPr>
        <w:t xml:space="preserve"> Earlimart Public Utilities District (PUD)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 xml:space="preserve"> Water System are advising </w:t>
      </w:r>
      <w:r w:rsidR="00560FD1" w:rsidRPr="00560FD1">
        <w:rPr>
          <w:rFonts w:ascii="Arial" w:hAnsi="Arial" w:cs="Arial"/>
          <w:color w:val="000000" w:themeColor="text1"/>
          <w:sz w:val="24"/>
          <w:szCs w:val="24"/>
        </w:rPr>
        <w:t xml:space="preserve">customers of Earlimart PUD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 xml:space="preserve">to only use boiled tap water or bottled water for drinking and cooking purposes as a safety precaution to avoid stomach or intestinal illness. The affected area includes: </w:t>
      </w:r>
      <w:r w:rsidR="00560FD1" w:rsidRPr="00560FD1">
        <w:rPr>
          <w:rFonts w:ascii="Arial" w:hAnsi="Arial" w:cs="Arial"/>
          <w:color w:val="000000" w:themeColor="text1"/>
          <w:sz w:val="24"/>
          <w:szCs w:val="24"/>
        </w:rPr>
        <w:t xml:space="preserve">Customers of Earlimart PUD </w:t>
      </w:r>
    </w:p>
    <w:p w14:paraId="6C8AB21E" w14:textId="150BF1B3" w:rsidR="001426FA" w:rsidRPr="00560FD1" w:rsidRDefault="001426FA" w:rsidP="001426FA">
      <w:p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 xml:space="preserve">We will inform you when tests show that water is safe to </w:t>
      </w:r>
      <w:r w:rsidR="009E580B" w:rsidRPr="00560FD1">
        <w:rPr>
          <w:rFonts w:ascii="Arial" w:hAnsi="Arial" w:cs="Arial"/>
          <w:color w:val="000000" w:themeColor="text1"/>
          <w:sz w:val="24"/>
          <w:szCs w:val="24"/>
        </w:rPr>
        <w:t>drink,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 xml:space="preserve"> and you no longer need to boil your water. We anticipate resolving the problem within</w:t>
      </w:r>
      <w:r w:rsidR="00560FD1" w:rsidRPr="00560FD1">
        <w:rPr>
          <w:rFonts w:ascii="Arial" w:hAnsi="Arial" w:cs="Arial"/>
          <w:color w:val="000000" w:themeColor="text1"/>
          <w:sz w:val="24"/>
          <w:szCs w:val="24"/>
        </w:rPr>
        <w:t xml:space="preserve"> 5-8 days.  </w:t>
      </w:r>
    </w:p>
    <w:p w14:paraId="1FE01CE4" w14:textId="790E94B1" w:rsidR="001426FA" w:rsidRPr="00560FD1" w:rsidRDefault="001426FA" w:rsidP="001426FA">
      <w:p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 xml:space="preserve">If you have questions about other uses of tap water, such as bathing and dish washing, please call your water system or read this guidance: </w:t>
      </w:r>
      <w:hyperlink r:id="rId8" w:history="1">
        <w:r w:rsidR="00AA7008" w:rsidRPr="00560FD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https://waterboards.ca.gov/drinking_water/certlic/drinkingwater/documents/notices/cdc_wtd_bw_advisory.docx</w:t>
        </w:r>
      </w:hyperlink>
    </w:p>
    <w:p w14:paraId="335511D0" w14:textId="64E9343B" w:rsidR="001426FA" w:rsidRPr="00560FD1" w:rsidRDefault="001426FA" w:rsidP="00AB2ADF">
      <w:pPr>
        <w:pStyle w:val="Heading3"/>
        <w:rPr>
          <w:color w:val="000000" w:themeColor="text1"/>
        </w:rPr>
      </w:pPr>
      <w:r w:rsidRPr="00560FD1">
        <w:rPr>
          <w:color w:val="000000" w:themeColor="text1"/>
        </w:rPr>
        <w:t>Do not drink the water without boiling it first</w:t>
      </w:r>
    </w:p>
    <w:p w14:paraId="61993A31" w14:textId="1E8C3666" w:rsidR="001426FA" w:rsidRPr="00560FD1" w:rsidRDefault="001426FA" w:rsidP="001426F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Boil all water for one (1) minute (rolling boil).</w:t>
      </w:r>
    </w:p>
    <w:p w14:paraId="4E5A5DA4" w14:textId="040FBAE7" w:rsidR="001426FA" w:rsidRPr="00560FD1" w:rsidRDefault="001426FA" w:rsidP="001426F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Let water cool before drinking.</w:t>
      </w:r>
    </w:p>
    <w:p w14:paraId="7BC72F5F" w14:textId="524ACC7E" w:rsidR="001426FA" w:rsidRPr="00560FD1" w:rsidRDefault="001426FA" w:rsidP="001426F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Use boiled or bottled water for drinking, brushing teeth, and food preparation until further notice.</w:t>
      </w:r>
    </w:p>
    <w:p w14:paraId="237144B4" w14:textId="1A93E241" w:rsidR="001426FA" w:rsidRPr="00560FD1" w:rsidRDefault="001426FA" w:rsidP="001426FA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Boiling water kills bacteria and other organisms in the water.</w:t>
      </w:r>
    </w:p>
    <w:p w14:paraId="4B65642A" w14:textId="77777777" w:rsidR="001426FA" w:rsidRPr="00560FD1" w:rsidRDefault="001426FA" w:rsidP="00AB2ADF">
      <w:pPr>
        <w:pStyle w:val="Heading3"/>
        <w:rPr>
          <w:color w:val="000000" w:themeColor="text1"/>
        </w:rPr>
      </w:pPr>
      <w:r w:rsidRPr="00560FD1">
        <w:rPr>
          <w:color w:val="000000" w:themeColor="text1"/>
        </w:rPr>
        <w:t>If you are unable to boil your water:</w:t>
      </w:r>
    </w:p>
    <w:p w14:paraId="0BC070A2" w14:textId="77777777" w:rsidR="001426FA" w:rsidRPr="00560FD1" w:rsidRDefault="001426FA" w:rsidP="001426FA">
      <w:p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Household unscented liquid bleach</w:t>
      </w:r>
    </w:p>
    <w:p w14:paraId="70ADB45D" w14:textId="1F905BF4" w:rsidR="001426FA" w:rsidRPr="00560FD1" w:rsidRDefault="001426FA" w:rsidP="001426F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For clear water, use 8 drops (1/8 tsp.) of bleach for 1 gallon of water. For cloudy water, filter through a clean cloth and use 16 drops (1/4 tsp</w:t>
      </w:r>
      <w:r w:rsidR="004A2EE8" w:rsidRPr="00560FD1">
        <w:rPr>
          <w:rFonts w:ascii="Arial" w:hAnsi="Arial" w:cs="Arial"/>
          <w:color w:val="000000" w:themeColor="text1"/>
          <w:sz w:val="24"/>
          <w:szCs w:val="24"/>
        </w:rPr>
        <w:t>.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) of bleach for 1 gallon of water.</w:t>
      </w:r>
    </w:p>
    <w:p w14:paraId="52ED58DB" w14:textId="380A41C9" w:rsidR="001426FA" w:rsidRPr="00560FD1" w:rsidRDefault="001426FA" w:rsidP="001426F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Mix well. Allow to stand for 30 minutes before using.</w:t>
      </w:r>
    </w:p>
    <w:p w14:paraId="7676BA2C" w14:textId="6911A835" w:rsidR="001426FA" w:rsidRPr="00560FD1" w:rsidRDefault="001426FA" w:rsidP="001426F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Water may taste or smell like chlorine. This means disinfection has occurred.</w:t>
      </w:r>
    </w:p>
    <w:p w14:paraId="43D12A69" w14:textId="77777777" w:rsidR="001426FA" w:rsidRPr="00560FD1" w:rsidRDefault="001426FA" w:rsidP="001426FA">
      <w:p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Water disinfection tablets</w:t>
      </w:r>
    </w:p>
    <w:p w14:paraId="4A54E4DF" w14:textId="371A9DDA" w:rsidR="001426FA" w:rsidRPr="00560FD1" w:rsidRDefault="001426FA" w:rsidP="001426FA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Please follow the manufacturer’s instructions.</w:t>
      </w:r>
    </w:p>
    <w:p w14:paraId="4C98E971" w14:textId="68794701" w:rsidR="001426FA" w:rsidRPr="00560FD1" w:rsidRDefault="001426FA" w:rsidP="001426FA">
      <w:pPr>
        <w:rPr>
          <w:rFonts w:ascii="Arial" w:hAnsi="Arial" w:cs="Arial"/>
          <w:color w:val="000000" w:themeColor="text1"/>
          <w:sz w:val="24"/>
          <w:szCs w:val="24"/>
        </w:rPr>
        <w:sectPr w:rsidR="001426FA" w:rsidRPr="00560FD1" w:rsidSect="00EF2C31">
          <w:type w:val="continuous"/>
          <w:pgSz w:w="12240" w:h="15840"/>
          <w:pgMar w:top="1440" w:right="540" w:bottom="1440" w:left="540" w:header="720" w:footer="720" w:gutter="0"/>
          <w:cols w:num="2" w:space="360"/>
          <w:docGrid w:linePitch="360"/>
        </w:sectPr>
      </w:pPr>
    </w:p>
    <w:p w14:paraId="1185152D" w14:textId="77777777" w:rsidR="00084A37" w:rsidRPr="00560FD1" w:rsidRDefault="00084A37" w:rsidP="00084A37">
      <w:pPr>
        <w:pBdr>
          <w:bottom w:val="single" w:sz="6" w:space="1" w:color="auto"/>
        </w:pBdr>
        <w:spacing w:line="271" w:lineRule="auto"/>
        <w:ind w:right="454"/>
        <w:rPr>
          <w:rFonts w:ascii="Arial" w:hAnsi="Arial" w:cs="Arial"/>
          <w:b/>
          <w:color w:val="000000" w:themeColor="text1"/>
          <w:sz w:val="2"/>
          <w:szCs w:val="2"/>
        </w:rPr>
      </w:pPr>
    </w:p>
    <w:p w14:paraId="19D2191F" w14:textId="6FBFCECD" w:rsidR="004A18FA" w:rsidRPr="00560FD1" w:rsidRDefault="004A18FA" w:rsidP="00AB2ADF">
      <w:pPr>
        <w:pStyle w:val="Heading2"/>
        <w:jc w:val="left"/>
        <w:rPr>
          <w:color w:val="000000" w:themeColor="text1"/>
        </w:rPr>
      </w:pPr>
      <w:r w:rsidRPr="00560FD1">
        <w:rPr>
          <w:color w:val="000000" w:themeColor="text1"/>
        </w:rPr>
        <w:t xml:space="preserve">For More Information </w:t>
      </w:r>
    </w:p>
    <w:p w14:paraId="2C6D77F9" w14:textId="77777777" w:rsidR="004A18FA" w:rsidRPr="00560FD1" w:rsidRDefault="004A18FA" w:rsidP="002B4EBD">
      <w:pPr>
        <w:spacing w:after="0" w:line="240" w:lineRule="auto"/>
        <w:ind w:right="454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4B3AD445" w14:textId="2E5F936B" w:rsidR="00084A37" w:rsidRPr="00560FD1" w:rsidRDefault="00084A37" w:rsidP="002B4EBD">
      <w:pPr>
        <w:spacing w:after="0" w:line="240" w:lineRule="auto"/>
        <w:ind w:right="454"/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bCs/>
          <w:color w:val="000000" w:themeColor="text1"/>
          <w:sz w:val="24"/>
          <w:szCs w:val="24"/>
        </w:rPr>
        <w:t>If you are concerned about your health or the health of a family member, contact your health care provider or</w:t>
      </w:r>
      <w:r w:rsidR="00560FD1" w:rsidRPr="00560FD1">
        <w:rPr>
          <w:rFonts w:ascii="Arial" w:hAnsi="Arial" w:cs="Arial"/>
          <w:bCs/>
          <w:color w:val="000000" w:themeColor="text1"/>
          <w:sz w:val="24"/>
          <w:szCs w:val="24"/>
        </w:rPr>
        <w:t xml:space="preserve"> Tulare County Environmental Health Department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DA8190" w14:textId="77777777" w:rsidR="002B4EBD" w:rsidRPr="00560FD1" w:rsidRDefault="002B4EBD" w:rsidP="002B4EBD">
      <w:pPr>
        <w:spacing w:after="0" w:line="240" w:lineRule="auto"/>
        <w:ind w:right="454"/>
        <w:rPr>
          <w:rFonts w:ascii="Arial" w:hAnsi="Arial" w:cs="Arial"/>
          <w:color w:val="000000" w:themeColor="text1"/>
          <w:sz w:val="16"/>
          <w:szCs w:val="16"/>
        </w:rPr>
      </w:pPr>
    </w:p>
    <w:p w14:paraId="0EA46323" w14:textId="280A6EE5" w:rsidR="00084A37" w:rsidRPr="00560FD1" w:rsidRDefault="00084A37" w:rsidP="002B4EBD">
      <w:pPr>
        <w:spacing w:after="0" w:line="240" w:lineRule="auto"/>
        <w:ind w:right="1742"/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b/>
          <w:color w:val="000000" w:themeColor="text1"/>
          <w:sz w:val="24"/>
          <w:szCs w:val="24"/>
        </w:rPr>
        <w:t>Water Utility contact:</w:t>
      </w:r>
      <w:r w:rsidR="00560FD1" w:rsidRPr="00560FD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bookmarkStart w:id="0" w:name="_Hlk218604753"/>
      <w:r w:rsidR="00560FD1" w:rsidRPr="00560FD1">
        <w:rPr>
          <w:rFonts w:ascii="Arial" w:hAnsi="Arial" w:cs="Arial"/>
          <w:b/>
          <w:color w:val="000000" w:themeColor="text1"/>
          <w:sz w:val="24"/>
          <w:szCs w:val="24"/>
        </w:rPr>
        <w:t>Rachel Garcia, Office Manager (661)849-2663</w:t>
      </w:r>
    </w:p>
    <w:bookmarkEnd w:id="0"/>
    <w:p w14:paraId="537C00CB" w14:textId="1986FEEC" w:rsidR="00084A37" w:rsidRPr="00560FD1" w:rsidRDefault="00084A37" w:rsidP="002B4EBD">
      <w:pPr>
        <w:spacing w:after="0" w:line="240" w:lineRule="auto"/>
        <w:ind w:right="1742"/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b/>
          <w:color w:val="000000" w:themeColor="text1"/>
          <w:sz w:val="24"/>
          <w:szCs w:val="24"/>
        </w:rPr>
        <w:t>State Water Resources Control Board District Office:</w:t>
      </w:r>
      <w:r w:rsidR="00560FD1" w:rsidRPr="00560FD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bookmarkStart w:id="1" w:name="_Hlk218604762"/>
      <w:r w:rsidR="00560FD1" w:rsidRPr="00560FD1">
        <w:rPr>
          <w:rFonts w:ascii="Arial" w:hAnsi="Arial" w:cs="Arial"/>
          <w:b/>
          <w:color w:val="000000" w:themeColor="text1"/>
          <w:sz w:val="24"/>
          <w:szCs w:val="24"/>
        </w:rPr>
        <w:t>(559)447-3300 Tulare District</w:t>
      </w:r>
      <w:bookmarkEnd w:id="1"/>
    </w:p>
    <w:p w14:paraId="573745BC" w14:textId="4ED338C2" w:rsidR="00084A37" w:rsidRPr="00560FD1" w:rsidRDefault="00084A37" w:rsidP="002B4EBD">
      <w:pPr>
        <w:spacing w:after="0" w:line="240" w:lineRule="auto"/>
        <w:ind w:right="1742"/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b/>
          <w:color w:val="000000" w:themeColor="text1"/>
          <w:sz w:val="24"/>
          <w:szCs w:val="24"/>
        </w:rPr>
        <w:t>Local Environmental Health Jurisdiction</w:t>
      </w:r>
      <w:r w:rsidR="00560FD1" w:rsidRPr="00560FD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bookmarkStart w:id="2" w:name="_Hlk218604769"/>
      <w:r w:rsidR="00560FD1" w:rsidRPr="00560FD1">
        <w:rPr>
          <w:rFonts w:ascii="Arial" w:hAnsi="Arial" w:cs="Arial"/>
          <w:b/>
          <w:color w:val="000000" w:themeColor="text1"/>
          <w:sz w:val="24"/>
          <w:szCs w:val="24"/>
        </w:rPr>
        <w:t>Tulare County (559)624-7400</w:t>
      </w:r>
    </w:p>
    <w:bookmarkEnd w:id="2"/>
    <w:p w14:paraId="3D9290EA" w14:textId="77777777" w:rsidR="002B4EBD" w:rsidRPr="00560FD1" w:rsidRDefault="002B4EBD" w:rsidP="002B4EBD">
      <w:pPr>
        <w:spacing w:after="0" w:line="240" w:lineRule="auto"/>
        <w:ind w:right="1742"/>
        <w:rPr>
          <w:rFonts w:ascii="Arial" w:hAnsi="Arial" w:cs="Arial"/>
          <w:color w:val="000000" w:themeColor="text1"/>
          <w:sz w:val="16"/>
          <w:szCs w:val="16"/>
        </w:rPr>
      </w:pPr>
    </w:p>
    <w:p w14:paraId="14EBDA11" w14:textId="013C4B53" w:rsidR="001426FA" w:rsidRPr="00560FD1" w:rsidRDefault="00084A37" w:rsidP="002B4EBD">
      <w:pPr>
        <w:spacing w:after="0" w:line="240" w:lineRule="auto"/>
        <w:ind w:right="3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D1">
        <w:rPr>
          <w:rFonts w:ascii="Arial" w:hAnsi="Arial" w:cs="Arial"/>
          <w:color w:val="000000" w:themeColor="text1"/>
          <w:sz w:val="24"/>
          <w:szCs w:val="24"/>
        </w:rPr>
        <w:t>Please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share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or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post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this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information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with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others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who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drink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this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pacing w:val="-4"/>
          <w:sz w:val="24"/>
          <w:szCs w:val="24"/>
        </w:rPr>
        <w:t>water,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especially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those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who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pacing w:val="-3"/>
          <w:sz w:val="24"/>
          <w:szCs w:val="24"/>
        </w:rPr>
        <w:t>may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not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pacing w:val="-3"/>
          <w:sz w:val="24"/>
          <w:szCs w:val="24"/>
        </w:rPr>
        <w:t>have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received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this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notice</w:t>
      </w:r>
      <w:r w:rsidRPr="00560FD1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 xml:space="preserve">directly (for example, people in apartments, nursing homes, schools, and businesses). </w:t>
      </w:r>
      <w:r w:rsidRPr="00560FD1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You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can do this by posting this notice in a public place or distributing copies by hand or</w:t>
      </w:r>
      <w:r w:rsidRPr="00560FD1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560FD1">
        <w:rPr>
          <w:rFonts w:ascii="Arial" w:hAnsi="Arial" w:cs="Arial"/>
          <w:color w:val="000000" w:themeColor="text1"/>
          <w:sz w:val="24"/>
          <w:szCs w:val="24"/>
        </w:rPr>
        <w:t>mail.</w:t>
      </w:r>
    </w:p>
    <w:sectPr w:rsidR="001426FA" w:rsidRPr="00560FD1" w:rsidSect="004A18FA">
      <w:type w:val="continuous"/>
      <w:pgSz w:w="12240" w:h="15840"/>
      <w:pgMar w:top="63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90C"/>
    <w:multiLevelType w:val="hybridMultilevel"/>
    <w:tmpl w:val="12F46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5B7448"/>
    <w:multiLevelType w:val="hybridMultilevel"/>
    <w:tmpl w:val="847CE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6E6B08"/>
    <w:multiLevelType w:val="hybridMultilevel"/>
    <w:tmpl w:val="B352C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01837">
    <w:abstractNumId w:val="1"/>
  </w:num>
  <w:num w:numId="2" w16cid:durableId="689063410">
    <w:abstractNumId w:val="2"/>
  </w:num>
  <w:num w:numId="3" w16cid:durableId="163992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C5"/>
    <w:rsid w:val="000035C9"/>
    <w:rsid w:val="00010CBB"/>
    <w:rsid w:val="00044962"/>
    <w:rsid w:val="00084A37"/>
    <w:rsid w:val="000D1D34"/>
    <w:rsid w:val="00103205"/>
    <w:rsid w:val="001101B8"/>
    <w:rsid w:val="001426FA"/>
    <w:rsid w:val="00194A46"/>
    <w:rsid w:val="001D7CC5"/>
    <w:rsid w:val="00244410"/>
    <w:rsid w:val="0025396F"/>
    <w:rsid w:val="00261839"/>
    <w:rsid w:val="002B4EBD"/>
    <w:rsid w:val="00414322"/>
    <w:rsid w:val="004A18FA"/>
    <w:rsid w:val="004A2EE8"/>
    <w:rsid w:val="00560FD1"/>
    <w:rsid w:val="00573FEE"/>
    <w:rsid w:val="0058681C"/>
    <w:rsid w:val="005E16BD"/>
    <w:rsid w:val="00693269"/>
    <w:rsid w:val="00726B21"/>
    <w:rsid w:val="00727555"/>
    <w:rsid w:val="007643E7"/>
    <w:rsid w:val="007872A1"/>
    <w:rsid w:val="007D40D8"/>
    <w:rsid w:val="009270A8"/>
    <w:rsid w:val="009E580B"/>
    <w:rsid w:val="00A53C94"/>
    <w:rsid w:val="00AA7008"/>
    <w:rsid w:val="00AB2ADF"/>
    <w:rsid w:val="00AD5A1D"/>
    <w:rsid w:val="00B1498C"/>
    <w:rsid w:val="00B77245"/>
    <w:rsid w:val="00BF73D3"/>
    <w:rsid w:val="00C06E4C"/>
    <w:rsid w:val="00C2047D"/>
    <w:rsid w:val="00CE15EA"/>
    <w:rsid w:val="00D50F0F"/>
    <w:rsid w:val="00D64A24"/>
    <w:rsid w:val="00E23B51"/>
    <w:rsid w:val="00E63F49"/>
    <w:rsid w:val="00E94B77"/>
    <w:rsid w:val="00EF0D41"/>
    <w:rsid w:val="00EF2C31"/>
    <w:rsid w:val="00F55B36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01DC0"/>
  <w15:chartTrackingRefBased/>
  <w15:docId w15:val="{187E504E-34B0-4FB5-BC1D-2784CBFC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8681C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A24"/>
    <w:pPr>
      <w:spacing w:after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2A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57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B57C5"/>
    <w:rPr>
      <w:rFonts w:ascii="Arial" w:eastAsia="Arial" w:hAnsi="Arial" w:cs="Arial"/>
      <w:sz w:val="19"/>
      <w:szCs w:val="19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58681C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426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4A24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2ADF"/>
    <w:rPr>
      <w:rFonts w:ascii="Arial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erboards.ca.gov/drinking_water/certlic/drinkingwater/documents/notices/cdc_wtd_bw_advisory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6DAAAB9B6FC4BA3388B699DAF62A0" ma:contentTypeVersion="9" ma:contentTypeDescription="Create a new document." ma:contentTypeScope="" ma:versionID="09e41b260973f832be052ac5a9633365">
  <xsd:schema xmlns:xsd="http://www.w3.org/2001/XMLSchema" xmlns:xs="http://www.w3.org/2001/XMLSchema" xmlns:p="http://schemas.microsoft.com/office/2006/metadata/properties" xmlns:ns3="56c934b6-9dcd-43ae-9b1a-98e58d26a298" xmlns:ns4="107b7c3e-dbeb-4f03-86be-f5af223e6e79" targetNamespace="http://schemas.microsoft.com/office/2006/metadata/properties" ma:root="true" ma:fieldsID="459dccb1bdcbfe74eabbddc052321c50" ns3:_="" ns4:_="">
    <xsd:import namespace="56c934b6-9dcd-43ae-9b1a-98e58d26a298"/>
    <xsd:import namespace="107b7c3e-dbeb-4f03-86be-f5af223e6e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34b6-9dcd-43ae-9b1a-98e58d26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b7c3e-dbeb-4f03-86be-f5af223e6e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316C4-1EA3-4328-AE5E-F35B28C0B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DB360-C0C3-433B-9DF9-C35E7D1E1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934b6-9dcd-43ae-9b1a-98e58d26a298"/>
    <ds:schemaRef ds:uri="107b7c3e-dbeb-4f03-86be-f5af223e6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71501-E10D-49D9-BEA1-29C7A9A8C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boil_water_notice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boil_water_notice</dc:title>
  <dc:subject/>
  <dc:creator>California Water Boards</dc:creator>
  <cp:keywords/>
  <dc:description/>
  <cp:lastModifiedBy>Demmers, Shawn@Waterboards</cp:lastModifiedBy>
  <cp:revision>3</cp:revision>
  <dcterms:created xsi:type="dcterms:W3CDTF">2026-01-06T23:10:00Z</dcterms:created>
  <dcterms:modified xsi:type="dcterms:W3CDTF">2026-01-06T23:15:00Z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0x0101000FB6DAAAB9B6FC4BA3388B699DAF62A0</vt:lpwstr>
  </property>
</Properties>
</file>